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1080"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Дом культуры</w:t>
      </w:r>
    </w:p>
    <w:tbl>
      <w:tblPr>
        <w:tblW w:w="9400" w:type="dxa"/>
        <w:jc w:val="left"/>
        <w:tblInd w:w="-22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357"/>
        <w:gridCol w:w="5043"/>
      </w:tblGrid>
      <w:tr>
        <w:trPr/>
        <w:tc>
          <w:tcPr>
            <w:tcW w:w="4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</w:tc>
        <w:tc>
          <w:tcPr>
            <w:tcW w:w="5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Муниципальное казенное учреждение       культуры – дом культуры</w:t>
            </w:r>
          </w:p>
        </w:tc>
      </w:tr>
      <w:tr>
        <w:trPr/>
        <w:tc>
          <w:tcPr>
            <w:tcW w:w="4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Структура учреждения</w:t>
            </w:r>
          </w:p>
        </w:tc>
        <w:tc>
          <w:tcPr>
            <w:tcW w:w="5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Казенное </w:t>
            </w:r>
          </w:p>
        </w:tc>
      </w:tr>
      <w:tr>
        <w:trPr/>
        <w:tc>
          <w:tcPr>
            <w:tcW w:w="4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Категории обслуживаемого населения</w:t>
            </w:r>
          </w:p>
        </w:tc>
        <w:tc>
          <w:tcPr>
            <w:tcW w:w="5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>
        <w:trPr/>
        <w:tc>
          <w:tcPr>
            <w:tcW w:w="4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5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(не являющиеся основными)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-проведение дискотек;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-показ кинофильмов;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-сдача в аренду нежилых помещений;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-работа компьютерных игр, аттракционов;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-организация платных кружков;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-организация видов проката (концертных залов, фойе и иного имущества);</w:t>
            </w:r>
          </w:p>
          <w:p>
            <w:pPr>
              <w:pStyle w:val="Normal"/>
              <w:spacing w:before="280" w:after="20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-организация платных культурно-досуговых мероприятий;</w:t>
            </w:r>
          </w:p>
        </w:tc>
      </w:tr>
      <w:tr>
        <w:trPr/>
        <w:tc>
          <w:tcPr>
            <w:tcW w:w="4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 ЭКЦ по РС (Я)</w:t>
            </w:r>
          </w:p>
        </w:tc>
        <w:tc>
          <w:tcPr>
            <w:tcW w:w="5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культурно — массовых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мероприятий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5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 мероприятий</w:t>
            </w:r>
          </w:p>
        </w:tc>
      </w:tr>
      <w:tr>
        <w:trPr/>
        <w:tc>
          <w:tcPr>
            <w:tcW w:w="4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посетителей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5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5004 посетителей</w:t>
            </w:r>
          </w:p>
        </w:tc>
      </w:tr>
      <w:tr>
        <w:trPr/>
        <w:tc>
          <w:tcPr>
            <w:tcW w:w="4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клубных формирований (участников)</w:t>
            </w:r>
          </w:p>
        </w:tc>
        <w:tc>
          <w:tcPr>
            <w:tcW w:w="5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 в них участников 300 человек</w:t>
            </w:r>
          </w:p>
        </w:tc>
      </w:tr>
      <w:tr>
        <w:trPr/>
        <w:tc>
          <w:tcPr>
            <w:tcW w:w="4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собственного сайта (адрес)</w:t>
            </w:r>
          </w:p>
        </w:tc>
        <w:tc>
          <w:tcPr>
            <w:tcW w:w="5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>
        <w:trPr/>
        <w:tc>
          <w:tcPr>
            <w:tcW w:w="4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штатных работников</w:t>
            </w:r>
          </w:p>
        </w:tc>
        <w:tc>
          <w:tcPr>
            <w:tcW w:w="5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>
        <w:trPr/>
        <w:tc>
          <w:tcPr>
            <w:tcW w:w="4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специалисты культурно-досугового профиля (основной персонал)</w:t>
            </w:r>
          </w:p>
        </w:tc>
        <w:tc>
          <w:tcPr>
            <w:tcW w:w="5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>
      <w:pPr>
        <w:pStyle w:val="Normal"/>
        <w:numPr>
          <w:ilvl w:val="0"/>
          <w:numId w:val="1"/>
        </w:numPr>
        <w:spacing w:before="280" w:after="2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Основная деятельность.</w:t>
      </w:r>
    </w:p>
    <w:p>
      <w:pPr>
        <w:pStyle w:val="Normal"/>
        <w:spacing w:before="280" w:after="20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Основная деятельность Казенного учреждения является сохранение, создание, распространение и освоение культурных ценностей.</w:t>
      </w:r>
    </w:p>
    <w:p>
      <w:pPr>
        <w:pStyle w:val="Normal"/>
        <w:spacing w:before="280" w:after="20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Направления:</w:t>
      </w:r>
    </w:p>
    <w:p>
      <w:pPr>
        <w:pStyle w:val="Normal"/>
        <w:spacing w:before="28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-оказание организационного, методического, правового содействия общественным инициативам, направленным на сохранение стабильности социально-политических и межнациональных отношений в наслеге;</w:t>
      </w:r>
    </w:p>
    <w:p>
      <w:pPr>
        <w:pStyle w:val="Normal"/>
        <w:spacing w:before="28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-формирование и реализация муниципальных программ для сферы муниципальной деятельности;</w:t>
      </w:r>
    </w:p>
    <w:p>
      <w:pPr>
        <w:pStyle w:val="Normal"/>
        <w:spacing w:before="28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-взаимодействие с администрацией и Наслежным советом.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 xml:space="preserve">Цели работы: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Сохранение, распространение и освоение культурных ценностей.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Задачи: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развитие и внедрение любых форм досуговой деятельности, культурно – массовой работы  населения;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развитие разнообразных клубных формирований по реализации социальных и творческих инициатив населения.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-проведение театрально-зрелищных мероприятий, организация видов проката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-проведение массовых мероприятий (аукционов, ярмарок, выставок по реализации имущества, торгов, лотерей, фестивалей);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-проведение совместных мероприятий с предметами различных организационно-правовых форм собственности (по поводу знаменательных дат, праздников урожая);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достижения установленных целей  этнокультурный центр осуществляет следующие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 xml:space="preserve">виды деятельности: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(не являющиеся основными)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-проведение дискотек;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-показ кинофильмов;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-сдача в аренду нежилых помещений;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-работа компьютерных игр, аттракционов;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-организация платных кружков;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-организация видов проката (концертных залов, фойе и иного имущества);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-организация платных культурно-досуговых мероприятий;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ab/>
        <w:t>Приведенный перечень видов деятельности является исчерпывающим. Муниципальные задания для Казенного учреждения в соответствии с предусмотренным настоящим Уставом основными видами деятельности формирует и утверждает Администрация муниципального образования «Национальный наслег Анамы» Алданского района РС(Я).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Общая характеристика населения</w:t>
      </w:r>
    </w:p>
    <w:p>
      <w:pPr>
        <w:pStyle w:val="Style19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Муниципальное образование «Национальный наслег Анамы». Общая численность населения на  20</w:t>
      </w:r>
      <w:r>
        <w:rPr>
          <w:rFonts w:cs="Times New Roman" w:ascii="Times New Roman" w:hAnsi="Times New Roman"/>
          <w:sz w:val="24"/>
          <w:szCs w:val="24"/>
        </w:rPr>
        <w:t>22</w:t>
      </w:r>
      <w:r>
        <w:rPr>
          <w:rFonts w:cs="Times New Roman" w:ascii="Times New Roman" w:hAnsi="Times New Roman"/>
          <w:sz w:val="24"/>
          <w:szCs w:val="24"/>
        </w:rPr>
        <w:t xml:space="preserve"> год составляет </w:t>
      </w:r>
      <w:r>
        <w:rPr>
          <w:rFonts w:cs="Times New Roman" w:ascii="Times New Roman" w:hAnsi="Times New Roman"/>
          <w:sz w:val="24"/>
          <w:szCs w:val="24"/>
        </w:rPr>
        <w:t>598</w:t>
      </w:r>
      <w:r>
        <w:rPr>
          <w:rFonts w:cs="Times New Roman" w:ascii="Times New Roman" w:hAnsi="Times New Roman"/>
          <w:sz w:val="24"/>
          <w:szCs w:val="24"/>
        </w:rPr>
        <w:t xml:space="preserve"> человек,  из них мужчины от 55 и старше – 65 человек, женщины от 50 и старше – 98 человек, молодежь до 35 лет 87 человек, общий состав пенсионеров 15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человек, дети от 5 мес. До 14 лет 196 человек. Расстояние от административного центра 580 км.           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Характеристика состояния учреждения.</w:t>
      </w:r>
    </w:p>
    <w:p>
      <w:pPr>
        <w:pStyle w:val="Style19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казенное учреждение культуры «Дом культуры»  п. Кутана» Алданского района Республики Саха (Якутия), организация расположена по адресу:  Алданский район п. Кутана Республика Саха (Якутия)  ул. Набережная д. 2. Здание клуба функционирует с 1973 года. Площадь его составляет 374,4 кв.м, площадь занимаемая библиотекой 52,70 кв.м.  Число посадочных мест </w:t>
      </w:r>
      <w:r>
        <w:rPr>
          <w:rFonts w:cs="Times New Roman" w:ascii="Times New Roman" w:hAnsi="Times New Roman"/>
          <w:sz w:val="24"/>
          <w:szCs w:val="24"/>
        </w:rPr>
        <w:t>72</w:t>
      </w:r>
      <w:r>
        <w:rPr>
          <w:rFonts w:cs="Times New Roman" w:ascii="Times New Roman" w:hAnsi="Times New Roman"/>
          <w:sz w:val="24"/>
          <w:szCs w:val="24"/>
        </w:rPr>
        <w:t xml:space="preserve"> мест. Число досуговых помещений – 4. За время функционирования здания были выделены денежные  средства на капитальный ремонт крыши, потолка здания. Каждый год проводиться косметический ремонт. Здание оснащено противопожарной  звуковой сигнализацией. В зимний период в здании </w:t>
      </w:r>
      <w:r>
        <w:rPr>
          <w:rFonts w:cs="Times New Roman" w:ascii="Times New Roman" w:hAnsi="Times New Roman"/>
          <w:sz w:val="24"/>
          <w:szCs w:val="24"/>
        </w:rPr>
        <w:t>тепло.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28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Народное творчество 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</w:t>
      </w:r>
      <w:r>
        <w:rPr>
          <w:rFonts w:cs="Times New Roman" w:ascii="Times New Roman" w:hAnsi="Times New Roman"/>
          <w:b/>
          <w:sz w:val="24"/>
          <w:szCs w:val="24"/>
        </w:rPr>
        <w:t>осуговая деятельность</w:t>
      </w:r>
    </w:p>
    <w:p>
      <w:pPr>
        <w:pStyle w:val="Style19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доме культуры ведется большая работа по организации и проведению государственных, международных,  народных праздников. Ежегодно здесь проводятся тематические вечера  и праздничные концерты. В них принимают участие коллективы художественной самодеятельности, клубы по интересам.</w:t>
      </w:r>
    </w:p>
    <w:p>
      <w:pPr>
        <w:pStyle w:val="Style19"/>
        <w:spacing w:lineRule="auto" w:line="360" w:before="0"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данном учреждении ведется работа по возрождению и сохранению традиционной культуры, самобытных форм, национальных культур эвенков, проживающих на территории Алданского района п. Кутана .</w:t>
      </w:r>
    </w:p>
    <w:p>
      <w:pPr>
        <w:pStyle w:val="Style19"/>
        <w:spacing w:lineRule="auto" w:line="360" w:before="0"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Проведя выборочный анализ документов можно сделать вывод, что в направлении сохранения и развития лучших традиций народного и прикладного творчества, в доме культуры ведут работу коллективы самодеятельного  творчества, такие как:</w:t>
      </w:r>
    </w:p>
    <w:p>
      <w:pPr>
        <w:pStyle w:val="Style19"/>
        <w:spacing w:lineRule="auto" w:line="360" w:before="0" w:after="0"/>
        <w:ind w:lef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Кружок пения «Ырыа, тойук аргыстаах» при кружке есть ансамбль женщин «Далбар хотун» руководитель Максимова Марианна Валерьевна. Численность хора 19 человек. В составе коллектива все участницы преклонного возраста от 50 лет до 75 лет,  ансамбль мальчиков «Дохсун» руководитель Егорова Юлия Прокопьевна численность 7 человек, квартет «Сулусчаана» руководитель Максимова М.В., дуэт «</w:t>
      </w:r>
      <w:r>
        <w:rPr>
          <w:rFonts w:cs="Times New Roman" w:ascii="Times New Roman" w:hAnsi="Times New Roman"/>
          <w:sz w:val="24"/>
          <w:szCs w:val="24"/>
        </w:rPr>
        <w:t>Сияние</w:t>
      </w:r>
      <w:r>
        <w:rPr>
          <w:rFonts w:cs="Times New Roman" w:ascii="Times New Roman" w:hAnsi="Times New Roman"/>
          <w:sz w:val="24"/>
          <w:szCs w:val="24"/>
        </w:rPr>
        <w:t>» Егорова Ю.П., трио «</w:t>
      </w:r>
      <w:r>
        <w:rPr>
          <w:rFonts w:cs="Times New Roman" w:ascii="Times New Roman" w:hAnsi="Times New Roman"/>
          <w:sz w:val="24"/>
          <w:szCs w:val="24"/>
        </w:rPr>
        <w:t>Дыгын</w:t>
      </w:r>
      <w:r>
        <w:rPr>
          <w:rFonts w:cs="Times New Roman" w:ascii="Times New Roman" w:hAnsi="Times New Roman"/>
          <w:sz w:val="24"/>
          <w:szCs w:val="24"/>
        </w:rPr>
        <w:t xml:space="preserve">» Егорова Ю.П.,  ансамбль женщин  «Кыталыктар» руководитель Афанасьева Софья  Николаевна,  численность ансамбля 10 человек, народный танцевальный ансамбль «Биракан» численность ансамбля 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человек  руководитель Соловьева Анна Федоровна, спортивный кружок «Мы за ЗОЖ»  скандинавская ходьба, теннис, волейбол руководитель Максимова М.В..</w:t>
      </w:r>
    </w:p>
    <w:p>
      <w:pPr>
        <w:pStyle w:val="Style19"/>
        <w:spacing w:lineRule="auto" w:line="360" w:before="0" w:after="0"/>
        <w:ind w:left="0" w:firstLine="708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Не смотря на это, все формирования  ведут активную творческую деятельность. Принимают участие в мероприятиях, проводимых как в доме культуры  п. Кутана, так и общепоселковых мероприятиях. </w:t>
      </w:r>
    </w:p>
    <w:p>
      <w:pPr>
        <w:pStyle w:val="Style19"/>
        <w:spacing w:lineRule="auto" w:line="360" w:before="0" w:after="0"/>
        <w:ind w:left="0"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На базе учреждения работает несколько клубов по интересам «Далбар хотун», «Кэрэ куо», при клубе «Далбар хотун работает кружок  декоративно-прикладного творчества «Уран тарбах» руководитель </w:t>
      </w:r>
      <w:r>
        <w:rPr>
          <w:rFonts w:cs="Times New Roman" w:ascii="Times New Roman" w:hAnsi="Times New Roman"/>
          <w:sz w:val="24"/>
          <w:szCs w:val="24"/>
        </w:rPr>
        <w:t>Афанасьева Софья Николаевна</w:t>
      </w:r>
      <w:r>
        <w:rPr>
          <w:rFonts w:cs="Times New Roman" w:ascii="Times New Roman" w:hAnsi="Times New Roman"/>
          <w:sz w:val="24"/>
          <w:szCs w:val="24"/>
        </w:rPr>
        <w:t>,  она вдохновитель и организатор клуба. Клуб организован в январе 2015 года. Состав участниц разнообразен как в возрастной категории, так и в творческой. Количество участниц в клубе 18 человек. Возраст участниц от 30 до 75 лет. Клуб создан с целью пропаганды рукоделия как вида прикладного искусства, сохранения и развития традиций художественных ремесел.</w:t>
      </w:r>
    </w:p>
    <w:p>
      <w:pPr>
        <w:pStyle w:val="Style19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Задачи клуба: </w:t>
      </w:r>
    </w:p>
    <w:p>
      <w:pPr>
        <w:pStyle w:val="Style19"/>
        <w:numPr>
          <w:ilvl w:val="0"/>
          <w:numId w:val="2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совершенствование навыков и приемов рукоделия;</w:t>
      </w:r>
    </w:p>
    <w:p>
      <w:pPr>
        <w:pStyle w:val="Style19"/>
        <w:numPr>
          <w:ilvl w:val="0"/>
          <w:numId w:val="2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выражение индивидуальных и художественных способностей;</w:t>
      </w:r>
    </w:p>
    <w:p>
      <w:pPr>
        <w:pStyle w:val="Style19"/>
        <w:numPr>
          <w:ilvl w:val="0"/>
          <w:numId w:val="2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способствование возможности встречаться, обсуждать возникшие проблемы, а так же поиск единомышленников;</w:t>
      </w:r>
    </w:p>
    <w:p>
      <w:pPr>
        <w:pStyle w:val="Style19"/>
        <w:numPr>
          <w:ilvl w:val="0"/>
          <w:numId w:val="2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привлечение новых рукодельниц в клуб;</w:t>
      </w:r>
    </w:p>
    <w:p>
      <w:pPr>
        <w:pStyle w:val="Style19"/>
        <w:numPr>
          <w:ilvl w:val="0"/>
          <w:numId w:val="2"/>
        </w:numPr>
        <w:spacing w:lineRule="auto" w:line="360" w:before="0" w:after="0"/>
        <w:ind w:left="709" w:hanging="283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проведение выставок и мастер-классов.</w:t>
      </w:r>
    </w:p>
    <w:p>
      <w:pPr>
        <w:pStyle w:val="Style19"/>
        <w:spacing w:lineRule="auto" w:line="360" w:before="0" w:after="0"/>
        <w:ind w:lef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Помимо этого есть клуб отцов «А5а тумсуутэ» (руководитель Сосин Вячеслав Егорович) численный состав 40 человек. Возраст от 17 до 65 лет. Каждый год мы проводим праздник  «День отцов». </w:t>
        <w:tab/>
      </w:r>
    </w:p>
    <w:p>
      <w:pPr>
        <w:pStyle w:val="Style20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Традиционное природопользование включает в себя  исторически сложившиеся способы потребления природных ресурсов и формы хозяйственной деятельности, которые способствуют не только поддержанию жизнедеятельности коренных народов, но и являются центральными определениями этнической идентичности. </w:t>
      </w:r>
    </w:p>
    <w:p>
      <w:pPr>
        <w:pStyle w:val="Style20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Главная особенность традиционного природопользования коренных народов заключается в бережном отношении к природе-матери. Состояние природных ресурсов является первоосновой их существования, поэтому их рациональное распределение является основополагающим. Земля и ее ресурсы для коренных народов Севера – живое существо, так как именно это обеспечивает человеку Севера все необходимое для жизни.</w:t>
      </w:r>
    </w:p>
    <w:p>
      <w:pPr>
        <w:pStyle w:val="Style20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Жизнь эвенков тесно связана с природой, тайгой и обитателями леса. Прежде всего эвенк  - охотник. От его наблюдательности не ускользают малейшие изменения в окружающей обстановке, он прекрасно ориентируется, разбирается в следах зверей, в звуках. Для него в тайге нет ничего нового, неожиданного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 </w:t>
      </w:r>
    </w:p>
    <w:p>
      <w:pPr>
        <w:pStyle w:val="Style20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Таким образом, в ходе длительного исторического развития у эвенков была сформирована особая система семейного воспитания, которая основывалась на потребности в приспособлении к климатическим условиям Севера и кочевому образу жизни, идеалом воспитания был человек с высокими моральными и этическими нормами, уважающий национальные традиции, сосуществующий в гармонии с природой. </w:t>
      </w:r>
    </w:p>
    <w:p>
      <w:pPr>
        <w:pStyle w:val="Style20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Начатое нашими кадровыми охотниками дело,</w:t>
      </w:r>
      <w:r>
        <w:rPr>
          <w:rFonts w:cs="Times New Roman" w:ascii="Times New Roman" w:hAnsi="Times New Roman"/>
          <w:sz w:val="24"/>
          <w:szCs w:val="24"/>
        </w:rPr>
        <w:t xml:space="preserve"> сейчас с успехом продолжает молодое поколение.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Любительские объединения:</w:t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10"/>
        <w:gridCol w:w="2393"/>
        <w:gridCol w:w="2403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любительских объединений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Возрастная категория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«Далбар хотун»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50 – 75 лет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«Мичийээнэ куо»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40 – 50 лет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«Кэрэ куо»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18 – 40 лет</w:t>
            </w:r>
          </w:p>
        </w:tc>
      </w:tr>
      <w:tr>
        <w:trPr>
          <w:trHeight w:val="67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«А5а тумсуутэ»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15 до 75 лет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Клубные формирования:</w:t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10"/>
        <w:gridCol w:w="2393"/>
        <w:gridCol w:w="2403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Наименования клубных формирований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Возрастная категория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«Уран тарбах»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30 до 75 лет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Драм.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 категории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Квартет «Сулусчаана»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6 до 14 лет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Ансамбль  «Дохсун»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15 до 35 лет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Дуэт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Сияние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15 до 35 лет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Студия 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Дыгын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7 до 15 лет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Ансамбль женщин «Ырыа, тойук аргыстаах»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50 до 75 лет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Ансамбль «Кыталыктар»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18 до 40 лет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Народный ансамбль «Биракан»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6 до 75 лет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«ЗОЖ»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15 до 75 лет</w:t>
            </w:r>
          </w:p>
        </w:tc>
      </w:tr>
      <w:tr>
        <w:trPr>
          <w:trHeight w:val="46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ДПИ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30 до 75 ле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2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4"/>
        <w:b/>
        <w:szCs w:val="24"/>
        <w:bCs/>
        <w:rFonts w:ascii="Times New Roman" w:hAnsi="Times New Roman" w:eastAsia="Times New Roman" w:cs="Times New Roman"/>
        <w:lang w:eastAsia="ru-RU"/>
      </w:rPr>
    </w:lvl>
  </w:abstractNum>
  <w:abstractNum w:abstractNumId="2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00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625d"/>
    <w:pPr>
      <w:spacing w:before="0" w:after="200"/>
      <w:ind w:left="720" w:hanging="0"/>
      <w:contextualSpacing/>
    </w:pPr>
    <w:rPr/>
  </w:style>
  <w:style w:type="paragraph" w:styleId="Style19">
    <w:name w:val="Абзац списка"/>
    <w:basedOn w:val="Normal"/>
    <w:qFormat/>
    <w:pPr>
      <w:ind w:left="708" w:hanging="0"/>
    </w:pPr>
    <w:rPr/>
  </w:style>
  <w:style w:type="paragraph" w:styleId="Style20">
    <w:name w:val="Без интервала"/>
    <w:qFormat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Neat_Office/6.2.8.2$Windows_x86 LibreOffice_project/</Application>
  <Pages>5</Pages>
  <Words>1109</Words>
  <Characters>7576</Characters>
  <CharactersWithSpaces>8610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2016-11-22T01:30:00Z</dcterms:created>
  <dc:creator>User</dc:creator>
  <dc:description/>
  <dc:language>ru-RU</dc:language>
  <cp:lastModifiedBy/>
  <cp:lastPrinted>2020-12-01T01:40:00Z</cp:lastPrinted>
  <dcterms:modified xsi:type="dcterms:W3CDTF">2022-11-29T23:13:53Z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